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Contrazione dei mutui non previsti espressamente in atti fondamentali del Consiglio Comunale ed emissione dei prestiti obbligazionari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alla contrazione dei mutui non previsti espressamente in atti fondamentali del Consiglio Comunale ed emissione dei prestiti obbligazionari.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5D6CBA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D6CBA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3A9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2020-06-30T09:36:00Z</dcterms:modified>
</cp:coreProperties>
</file>